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27BBE" w14:textId="77777777" w:rsidR="002B0A02" w:rsidRPr="00F02F23" w:rsidRDefault="002B0A02" w:rsidP="002B5091">
      <w:pPr>
        <w:spacing w:after="0" w:line="240" w:lineRule="auto"/>
        <w:jc w:val="both"/>
        <w:rPr>
          <w:rFonts w:ascii="Palatino Linotype" w:eastAsia="Calibri" w:hAnsi="Palatino Linotype" w:cstheme="minorHAnsi"/>
          <w:color w:val="FF0000"/>
          <w:sz w:val="24"/>
          <w:szCs w:val="24"/>
        </w:rPr>
      </w:pPr>
      <w:r w:rsidRPr="00F02F23">
        <w:rPr>
          <w:rFonts w:ascii="Palatino Linotype" w:eastAsia="Calibri" w:hAnsi="Palatino Linotype" w:cstheme="minorHAnsi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9EFA9" wp14:editId="2DAC057B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A0AF8" w14:textId="77777777" w:rsidR="002B0A02" w:rsidRDefault="002B0A02" w:rsidP="002B0A0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7D3E3DEA" wp14:editId="57DA429A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538783" w14:textId="77777777" w:rsidR="002B0A02" w:rsidRPr="00F92E5B" w:rsidRDefault="002B0A02" w:rsidP="002B0A0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F92E5B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26828802" w14:textId="77777777" w:rsidR="002B0A02" w:rsidRPr="00F92E5B" w:rsidRDefault="002B0A02" w:rsidP="002B0A0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F92E5B">
                              <w:rPr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78A86FEB" w14:textId="77777777" w:rsidR="002B0A02" w:rsidRDefault="002B0A02" w:rsidP="002B0A0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0DA773D" w14:textId="77777777" w:rsidR="002B0A02" w:rsidRDefault="002B0A02" w:rsidP="002B0A0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39EFA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" stroked="f" strokeweight="2.25pt">
                <v:stroke dashstyle="1 1" endcap="round"/>
                <v:textbox inset="0,0,0,0">
                  <w:txbxContent>
                    <w:p w14:paraId="030A0AF8" w14:textId="77777777" w:rsidR="002B0A02" w:rsidRDefault="002B0A02" w:rsidP="002B0A02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7D3E3DEA" wp14:editId="57DA429A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538783" w14:textId="77777777" w:rsidR="002B0A02" w:rsidRPr="00F92E5B" w:rsidRDefault="002B0A02" w:rsidP="002B0A0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F92E5B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26828802" w14:textId="77777777" w:rsidR="002B0A02" w:rsidRPr="00F92E5B" w:rsidRDefault="002B0A02" w:rsidP="002B0A0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F92E5B">
                        <w:rPr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78A86FEB" w14:textId="77777777" w:rsidR="002B0A02" w:rsidRDefault="002B0A02" w:rsidP="002B0A0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0DA773D" w14:textId="77777777" w:rsidR="002B0A02" w:rsidRDefault="002B0A02" w:rsidP="002B0A0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F02F23">
        <w:rPr>
          <w:rFonts w:ascii="Palatino Linotype" w:eastAsia="Calibri" w:hAnsi="Palatino Linotype" w:cstheme="minorHAnsi"/>
          <w:color w:val="FF0000"/>
          <w:sz w:val="24"/>
          <w:szCs w:val="24"/>
        </w:rPr>
        <w:t xml:space="preserve"> </w:t>
      </w:r>
    </w:p>
    <w:p w14:paraId="6281F0ED" w14:textId="77777777" w:rsidR="002B0A02" w:rsidRPr="00F02F23" w:rsidRDefault="002B0A02" w:rsidP="002B5091">
      <w:pPr>
        <w:spacing w:after="0" w:line="240" w:lineRule="auto"/>
        <w:jc w:val="both"/>
        <w:rPr>
          <w:rFonts w:ascii="Palatino Linotype" w:eastAsia="Calibri" w:hAnsi="Palatino Linotype" w:cstheme="minorHAnsi"/>
          <w:sz w:val="24"/>
          <w:szCs w:val="24"/>
        </w:rPr>
      </w:pPr>
    </w:p>
    <w:p w14:paraId="2E04AA30" w14:textId="77777777" w:rsidR="002B0A02" w:rsidRPr="00F02F23" w:rsidRDefault="002B0A02" w:rsidP="002B5091">
      <w:pPr>
        <w:spacing w:after="0" w:line="240" w:lineRule="auto"/>
        <w:ind w:left="-284"/>
        <w:jc w:val="both"/>
        <w:rPr>
          <w:rFonts w:ascii="Palatino Linotype" w:eastAsia="Calibri" w:hAnsi="Palatino Linotype" w:cstheme="minorHAnsi"/>
          <w:sz w:val="24"/>
          <w:szCs w:val="24"/>
        </w:rPr>
      </w:pPr>
    </w:p>
    <w:p w14:paraId="0401B11C" w14:textId="77777777" w:rsidR="002B0A02" w:rsidRPr="00F02F23" w:rsidRDefault="002B0A02" w:rsidP="002B5091">
      <w:pPr>
        <w:spacing w:before="60" w:after="0" w:line="240" w:lineRule="auto"/>
        <w:jc w:val="both"/>
        <w:rPr>
          <w:rFonts w:ascii="Palatino Linotype" w:eastAsia="Calibri" w:hAnsi="Palatino Linotype" w:cstheme="minorHAnsi"/>
          <w:sz w:val="24"/>
          <w:szCs w:val="24"/>
        </w:rPr>
      </w:pPr>
    </w:p>
    <w:p w14:paraId="4FF41F17" w14:textId="77777777" w:rsidR="002B0A02" w:rsidRPr="00F02F23" w:rsidRDefault="002B0A02" w:rsidP="002B5091">
      <w:pPr>
        <w:spacing w:after="0" w:line="240" w:lineRule="auto"/>
        <w:jc w:val="both"/>
        <w:rPr>
          <w:rFonts w:ascii="Palatino Linotype" w:eastAsia="Calibri" w:hAnsi="Palatino Linotype" w:cstheme="minorHAnsi"/>
          <w:sz w:val="24"/>
          <w:szCs w:val="24"/>
        </w:rPr>
      </w:pPr>
    </w:p>
    <w:p w14:paraId="63599DBB" w14:textId="77777777" w:rsidR="002B0A02" w:rsidRPr="00F02F23" w:rsidRDefault="002B0A02" w:rsidP="002B5091">
      <w:pPr>
        <w:spacing w:after="0" w:line="240" w:lineRule="auto"/>
        <w:jc w:val="both"/>
        <w:rPr>
          <w:rFonts w:ascii="Palatino Linotype" w:eastAsia="Calibri" w:hAnsi="Palatino Linotype" w:cstheme="minorHAnsi"/>
          <w:sz w:val="24"/>
          <w:szCs w:val="24"/>
        </w:rPr>
      </w:pPr>
    </w:p>
    <w:p w14:paraId="0004E9C0" w14:textId="77777777" w:rsidR="002B0A02" w:rsidRPr="00F02F23" w:rsidRDefault="002B0A02" w:rsidP="002B5091">
      <w:pPr>
        <w:spacing w:after="200" w:line="276" w:lineRule="auto"/>
        <w:ind w:left="4320"/>
        <w:jc w:val="both"/>
        <w:rPr>
          <w:rFonts w:ascii="Palatino Linotype" w:eastAsia="Calibri" w:hAnsi="Palatino Linotype" w:cstheme="minorHAnsi"/>
          <w:sz w:val="24"/>
          <w:szCs w:val="24"/>
        </w:rPr>
      </w:pPr>
    </w:p>
    <w:p w14:paraId="578823EB" w14:textId="5EB931BF" w:rsidR="002B0A02" w:rsidRPr="008B5F6B" w:rsidRDefault="002B0A02" w:rsidP="00056F4A">
      <w:pPr>
        <w:spacing w:after="200" w:line="276" w:lineRule="auto"/>
        <w:ind w:left="4320"/>
        <w:jc w:val="right"/>
        <w:rPr>
          <w:rFonts w:ascii="Calibri" w:eastAsia="Calibri" w:hAnsi="Calibri" w:cs="Calibri"/>
          <w:bCs/>
          <w:sz w:val="24"/>
          <w:szCs w:val="24"/>
        </w:rPr>
      </w:pPr>
      <w:r w:rsidRPr="00C12148">
        <w:rPr>
          <w:rFonts w:ascii="Palatino Linotype" w:eastAsia="Calibri" w:hAnsi="Palatino Linotype" w:cstheme="minorHAnsi"/>
          <w:b/>
          <w:bCs/>
          <w:sz w:val="24"/>
          <w:szCs w:val="24"/>
        </w:rPr>
        <w:t xml:space="preserve">                  </w:t>
      </w:r>
      <w:bookmarkStart w:id="0" w:name="_Hlk158298325"/>
      <w:r w:rsidRPr="008B5F6B">
        <w:rPr>
          <w:rFonts w:ascii="Calibri" w:eastAsia="Calibri" w:hAnsi="Calibri" w:cs="Calibri"/>
          <w:bCs/>
          <w:sz w:val="24"/>
          <w:szCs w:val="24"/>
        </w:rPr>
        <w:t xml:space="preserve">Αθήνα, </w:t>
      </w:r>
      <w:r w:rsidR="00C12148" w:rsidRPr="008B5F6B">
        <w:rPr>
          <w:rFonts w:ascii="Calibri" w:eastAsia="Calibri" w:hAnsi="Calibri" w:cs="Calibri"/>
          <w:bCs/>
          <w:sz w:val="24"/>
          <w:szCs w:val="24"/>
        </w:rPr>
        <w:t>6</w:t>
      </w:r>
      <w:r w:rsidR="00B92613" w:rsidRPr="008B5F6B">
        <w:rPr>
          <w:rFonts w:ascii="Calibri" w:eastAsia="Calibri" w:hAnsi="Calibri" w:cs="Calibri"/>
          <w:bCs/>
          <w:sz w:val="24"/>
          <w:szCs w:val="24"/>
        </w:rPr>
        <w:t xml:space="preserve"> Αυγούστου 2025</w:t>
      </w:r>
      <w:r w:rsidRPr="008B5F6B">
        <w:rPr>
          <w:rFonts w:ascii="Calibri" w:eastAsia="Calibri" w:hAnsi="Calibri" w:cs="Calibri"/>
          <w:bCs/>
          <w:sz w:val="24"/>
          <w:szCs w:val="24"/>
        </w:rPr>
        <w:t xml:space="preserve"> </w:t>
      </w:r>
      <w:bookmarkEnd w:id="0"/>
    </w:p>
    <w:p w14:paraId="680E07A4" w14:textId="0F3F16F1" w:rsidR="00E57215" w:rsidRPr="00E57215" w:rsidRDefault="00C12148" w:rsidP="00C12148">
      <w:pPr>
        <w:pStyle w:val="Web"/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Ανακοίνωση</w:t>
      </w:r>
    </w:p>
    <w:p w14:paraId="1AD36934" w14:textId="5C345A9F" w:rsidR="00C12148" w:rsidRPr="008B5F6B" w:rsidRDefault="00C12148" w:rsidP="008B5F6B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B5F6B">
        <w:rPr>
          <w:rFonts w:ascii="Calibri" w:hAnsi="Calibri" w:cs="Calibri"/>
          <w:sz w:val="24"/>
          <w:szCs w:val="24"/>
        </w:rPr>
        <w:t xml:space="preserve">Μετά την καταγραφή συμβάντος επισκέπτη να σηκώνει λίθο μέσα στον ελεύθερα </w:t>
      </w:r>
      <w:proofErr w:type="spellStart"/>
      <w:r w:rsidRPr="008B5F6B">
        <w:rPr>
          <w:rFonts w:ascii="Calibri" w:hAnsi="Calibri" w:cs="Calibri"/>
          <w:sz w:val="24"/>
          <w:szCs w:val="24"/>
        </w:rPr>
        <w:t>προσβάσιμο</w:t>
      </w:r>
      <w:proofErr w:type="spellEnd"/>
      <w:r w:rsidRPr="008B5F6B">
        <w:rPr>
          <w:rFonts w:ascii="Calibri" w:hAnsi="Calibri" w:cs="Calibri"/>
          <w:sz w:val="24"/>
          <w:szCs w:val="24"/>
        </w:rPr>
        <w:t xml:space="preserve"> και μη οργανωμένο αρχαιολογικό χώρο της νησίδας Παλάτια/Βάκχος της Νάξου, η Εφορεία Αρχαιοτήτων Κυκλάδων, κατάθεσε μηνυτήρια αναφορά κατά αγνώστου για ανάρμοστη ενέργεια και έλαβε επιπλέον μέτρα ασφαλείας στον χώρο. Εκτός από την ενίσχυση της φύλαξης, προχώρησε και στην αντικατάσταση της </w:t>
      </w:r>
      <w:proofErr w:type="spellStart"/>
      <w:r w:rsidRPr="008B5F6B">
        <w:rPr>
          <w:rFonts w:ascii="Calibri" w:hAnsi="Calibri" w:cs="Calibri"/>
          <w:sz w:val="24"/>
          <w:szCs w:val="24"/>
        </w:rPr>
        <w:t>περισχοίνισης</w:t>
      </w:r>
      <w:proofErr w:type="spellEnd"/>
      <w:r w:rsidRPr="008B5F6B">
        <w:rPr>
          <w:rFonts w:ascii="Calibri" w:hAnsi="Calibri" w:cs="Calibri"/>
          <w:sz w:val="24"/>
          <w:szCs w:val="24"/>
        </w:rPr>
        <w:t xml:space="preserve"> της Πορτάρας με </w:t>
      </w:r>
      <w:proofErr w:type="spellStart"/>
      <w:r w:rsidRPr="008B5F6B">
        <w:rPr>
          <w:rFonts w:ascii="Calibri" w:hAnsi="Calibri" w:cs="Calibri"/>
          <w:sz w:val="24"/>
          <w:szCs w:val="24"/>
        </w:rPr>
        <w:t>εργοταξιακή</w:t>
      </w:r>
      <w:proofErr w:type="spellEnd"/>
      <w:r w:rsidRPr="008B5F6B">
        <w:rPr>
          <w:rFonts w:ascii="Calibri" w:hAnsi="Calibri" w:cs="Calibri"/>
          <w:sz w:val="24"/>
          <w:szCs w:val="24"/>
        </w:rPr>
        <w:t xml:space="preserve"> περίφραξη ελαφρού τύπου για την άμεση προστασία του μνημείου από ανεπιθύμητες ενέργειες, ενεργώντας «χωρίς υπαίτια καθυστέρηση και χωρίς άλλη διατύπωση» (Ν4858/21, άρθρο 40 παρ</w:t>
      </w:r>
      <w:r w:rsidR="008B5F6B">
        <w:rPr>
          <w:rFonts w:ascii="Calibri" w:hAnsi="Calibri" w:cs="Calibri"/>
          <w:sz w:val="24"/>
          <w:szCs w:val="24"/>
        </w:rPr>
        <w:t>. 1 &amp; 2). Η επιλογή τοποθέτησης</w:t>
      </w:r>
      <w:bookmarkStart w:id="1" w:name="_GoBack"/>
      <w:bookmarkEnd w:id="1"/>
      <w:r w:rsidRPr="008B5F6B">
        <w:rPr>
          <w:rFonts w:ascii="Calibri" w:hAnsi="Calibri" w:cs="Calibri"/>
          <w:sz w:val="24"/>
          <w:szCs w:val="24"/>
        </w:rPr>
        <w:t xml:space="preserve"> ελαφρού τύπου περίφραξης αντί </w:t>
      </w:r>
      <w:proofErr w:type="spellStart"/>
      <w:r w:rsidRPr="008B5F6B">
        <w:rPr>
          <w:rFonts w:ascii="Calibri" w:hAnsi="Calibri" w:cs="Calibri"/>
          <w:sz w:val="24"/>
          <w:szCs w:val="24"/>
        </w:rPr>
        <w:t>βαρέων</w:t>
      </w:r>
      <w:proofErr w:type="spellEnd"/>
      <w:r w:rsidRPr="008B5F6B">
        <w:rPr>
          <w:rFonts w:ascii="Calibri" w:hAnsi="Calibri" w:cs="Calibri"/>
          <w:sz w:val="24"/>
          <w:szCs w:val="24"/>
        </w:rPr>
        <w:t xml:space="preserve"> και έντονα παρεμβατικών εγκαταστάσεων στην θέση αυτή, είναι μέτρο προσωρινού χαρακτήρα και θα απομακρυνθεί αμέσως μόλις εφαρμοστεί η μόνιμη διαμόρφωση του αρχαιολογικού χώρου, για την οποία ετοιμάζεται ήδη σχετική πρόταση από την Υπηρεσία. </w:t>
      </w:r>
    </w:p>
    <w:p w14:paraId="3B779DF9" w14:textId="77777777" w:rsidR="00C12148" w:rsidRPr="008B5F6B" w:rsidRDefault="00C12148" w:rsidP="008B5F6B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B5F6B">
        <w:rPr>
          <w:rFonts w:ascii="Calibri" w:hAnsi="Calibri" w:cs="Calibri"/>
          <w:sz w:val="24"/>
          <w:szCs w:val="24"/>
        </w:rPr>
        <w:t xml:space="preserve">Ακολουθούν ενδεικτικές φωτογραφίες του χώρου της Πορτάρας με την προσωρινή περίφραξη.  </w:t>
      </w:r>
    </w:p>
    <w:p w14:paraId="76F42821" w14:textId="77777777" w:rsidR="00C12148" w:rsidRPr="008B5F6B" w:rsidRDefault="00C12148" w:rsidP="008B5F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DE1A313" w14:textId="053BE280" w:rsidR="00680F0A" w:rsidRPr="00E57215" w:rsidRDefault="00680F0A" w:rsidP="008B5F6B">
      <w:pPr>
        <w:pStyle w:val="Web"/>
        <w:spacing w:line="276" w:lineRule="auto"/>
        <w:rPr>
          <w:rFonts w:ascii="Calibri" w:hAnsi="Calibri" w:cs="Calibri"/>
        </w:rPr>
      </w:pPr>
    </w:p>
    <w:sectPr w:rsidR="00680F0A" w:rsidRPr="00E572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02"/>
    <w:rsid w:val="000400DA"/>
    <w:rsid w:val="00056F4A"/>
    <w:rsid w:val="000F7286"/>
    <w:rsid w:val="00167223"/>
    <w:rsid w:val="001A3047"/>
    <w:rsid w:val="001D5598"/>
    <w:rsid w:val="001F3D4E"/>
    <w:rsid w:val="002944C2"/>
    <w:rsid w:val="002B0A02"/>
    <w:rsid w:val="002B5091"/>
    <w:rsid w:val="002C0381"/>
    <w:rsid w:val="002E584A"/>
    <w:rsid w:val="003705CF"/>
    <w:rsid w:val="00385D9A"/>
    <w:rsid w:val="00387873"/>
    <w:rsid w:val="003C5FE0"/>
    <w:rsid w:val="00456297"/>
    <w:rsid w:val="004926AF"/>
    <w:rsid w:val="004A7EC8"/>
    <w:rsid w:val="00520775"/>
    <w:rsid w:val="00546FF4"/>
    <w:rsid w:val="005F0495"/>
    <w:rsid w:val="00672906"/>
    <w:rsid w:val="00676EC6"/>
    <w:rsid w:val="00680F0A"/>
    <w:rsid w:val="00763A45"/>
    <w:rsid w:val="0079009D"/>
    <w:rsid w:val="007D6787"/>
    <w:rsid w:val="00806750"/>
    <w:rsid w:val="00817992"/>
    <w:rsid w:val="008B5F6B"/>
    <w:rsid w:val="008D1C1A"/>
    <w:rsid w:val="008F08C1"/>
    <w:rsid w:val="009075F8"/>
    <w:rsid w:val="00A547FE"/>
    <w:rsid w:val="00AB2C16"/>
    <w:rsid w:val="00AF14A0"/>
    <w:rsid w:val="00B43CF8"/>
    <w:rsid w:val="00B71D09"/>
    <w:rsid w:val="00B92613"/>
    <w:rsid w:val="00BA0117"/>
    <w:rsid w:val="00BB2CE6"/>
    <w:rsid w:val="00BD6109"/>
    <w:rsid w:val="00C12148"/>
    <w:rsid w:val="00C5626A"/>
    <w:rsid w:val="00C6024B"/>
    <w:rsid w:val="00C8022B"/>
    <w:rsid w:val="00CA4D43"/>
    <w:rsid w:val="00CA52C0"/>
    <w:rsid w:val="00D03DD6"/>
    <w:rsid w:val="00D1770B"/>
    <w:rsid w:val="00D31D93"/>
    <w:rsid w:val="00E41F82"/>
    <w:rsid w:val="00E56B50"/>
    <w:rsid w:val="00E57215"/>
    <w:rsid w:val="00E76452"/>
    <w:rsid w:val="00EA7EB9"/>
    <w:rsid w:val="00ED3D0F"/>
    <w:rsid w:val="00EE0E2A"/>
    <w:rsid w:val="00EE701C"/>
    <w:rsid w:val="00F02F23"/>
    <w:rsid w:val="00F1034F"/>
    <w:rsid w:val="00F92E5B"/>
    <w:rsid w:val="00FE6615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52E6"/>
  <w15:chartTrackingRefBased/>
  <w15:docId w15:val="{D8E42B39-9AB4-41BF-8BC3-3D02F31D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B71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B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B0A02"/>
    <w:rPr>
      <w:b/>
      <w:bCs/>
    </w:rPr>
  </w:style>
  <w:style w:type="character" w:styleId="a4">
    <w:name w:val="Emphasis"/>
    <w:basedOn w:val="a0"/>
    <w:uiPriority w:val="20"/>
    <w:qFormat/>
    <w:rsid w:val="002B0A02"/>
    <w:rPr>
      <w:i/>
      <w:iCs/>
    </w:rPr>
  </w:style>
  <w:style w:type="character" w:customStyle="1" w:styleId="3Char">
    <w:name w:val="Επικεφαλίδα 3 Char"/>
    <w:basedOn w:val="a0"/>
    <w:link w:val="3"/>
    <w:uiPriority w:val="9"/>
    <w:rsid w:val="00B71D0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5">
    <w:name w:val="Balloon Text"/>
    <w:basedOn w:val="a"/>
    <w:link w:val="Char"/>
    <w:uiPriority w:val="99"/>
    <w:semiHidden/>
    <w:unhideWhenUsed/>
    <w:rsid w:val="00F92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92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210D106-043C-4FAA-95EF-9FA937B66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3A4B9-303C-40C9-A248-1A6716E9A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31F90E-5B01-4A26-B0C4-C26023F4639E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Λίνα Μενδώνη: Αποδόθηκε το Αρχαιολογικό Μουσείο Λήμνου, το 28ο Μουσείο, από τον Ιούλιο 2019</vt:lpstr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</dc:title>
  <dc:subject/>
  <dc:creator>Πολυρήνα Σταϊκοπούλου</dc:creator>
  <cp:keywords/>
  <dc:description/>
  <cp:lastModifiedBy>Ελευθερία Πελτέκη</cp:lastModifiedBy>
  <cp:revision>2</cp:revision>
  <dcterms:created xsi:type="dcterms:W3CDTF">2025-08-06T10:56:00Z</dcterms:created>
  <dcterms:modified xsi:type="dcterms:W3CDTF">2025-08-06T10:56:00Z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